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NAEYC Week of the Young Child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Proclamation Template - Cities/Mayors/City Councils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Lato" w:cs="Lato" w:eastAsia="Lato" w:hAnsi="Lato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Lato" w:cs="Lato" w:eastAsia="Lato" w:hAnsi="Lato"/>
          <w:i w:val="1"/>
          <w:color w:val="0000ff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color w:val="0000ff"/>
          <w:sz w:val="24"/>
          <w:szCs w:val="24"/>
          <w:rtl w:val="0"/>
        </w:rPr>
        <w:t xml:space="preserve">Please copy and paste the below information into a Word Doc, and submit the separate Word Doc for proclamation requests.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----------------------------------------------------------------------------------------------------------------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All of Arizona’s children deserve access to quality early care and education (ECE) environments; and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Quality child care programs build children’s lifelong learning skills during the critical years from birth to age five; and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ECE teachers and child care providers are the essential workforce that helps Arizona parents get to work or school; and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Funding quality child care is a smart investment that improves family well-being, strengthens communities, and grows our state’s prosperity; and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First Things First, Arizona Association for the Education of Young Children,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and other community organizations, in conjunction with the National Association for the Education of Young Children, are celebrating the 53rd anniversary of the Week of the Young Child; and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These organizations are working to improve equitable early childhood opportunities that provide a strong start for children in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[CITY OR REGION]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; and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Public policies that support ECE for Arizona’s youngest learners help our families, communities, and the economy thrive.</w:t>
      </w:r>
    </w:p>
    <w:p w:rsidR="00000000" w:rsidDel="00000000" w:rsidP="00000000" w:rsidRDefault="00000000" w:rsidRPr="00000000" w14:paraId="0000000E">
      <w:pPr>
        <w:pageBreakBefore w:val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NOW, THEREFORE, I,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[INSERT MAYOR, ELECTED OFFICIAL, CHAIR, ETC.]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, do hereby proclaim April 6-12, 2024 as the Week of the Young Child in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[CITY OR REGION]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, Arizona and encourage all citizens to support and invest in early care and education in our community.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